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4E" w:rsidRDefault="00281618" w:rsidP="004F7B42">
      <w:pPr>
        <w:spacing w:after="0" w:line="240" w:lineRule="auto"/>
        <w:jc w:val="center"/>
        <w:rPr>
          <w:b/>
          <w:sz w:val="28"/>
          <w:szCs w:val="28"/>
        </w:rPr>
      </w:pPr>
      <w:r w:rsidRPr="00281618">
        <w:rPr>
          <w:b/>
          <w:sz w:val="28"/>
          <w:szCs w:val="28"/>
        </w:rPr>
        <w:t>Incontriamo Gesù</w:t>
      </w:r>
    </w:p>
    <w:p w:rsidR="00281618" w:rsidRDefault="00281618" w:rsidP="004F7B42">
      <w:pPr>
        <w:spacing w:after="0" w:line="240" w:lineRule="auto"/>
        <w:jc w:val="center"/>
        <w:rPr>
          <w:b/>
          <w:sz w:val="28"/>
          <w:szCs w:val="28"/>
        </w:rPr>
      </w:pPr>
      <w:r>
        <w:rPr>
          <w:b/>
          <w:sz w:val="28"/>
          <w:szCs w:val="28"/>
        </w:rPr>
        <w:t>Orientamenti  per l’annuncio e la catechesi</w:t>
      </w:r>
    </w:p>
    <w:p w:rsidR="004F7B42" w:rsidRDefault="004F7B42" w:rsidP="004F7B42">
      <w:pPr>
        <w:spacing w:after="0" w:line="240" w:lineRule="auto"/>
        <w:jc w:val="center"/>
        <w:rPr>
          <w:b/>
          <w:sz w:val="28"/>
          <w:szCs w:val="28"/>
        </w:rPr>
      </w:pPr>
    </w:p>
    <w:p w:rsidR="00281618" w:rsidRPr="00DF1F07" w:rsidRDefault="00281618" w:rsidP="004F7B42">
      <w:pPr>
        <w:spacing w:after="0"/>
        <w:ind w:firstLine="567"/>
        <w:jc w:val="both"/>
        <w:rPr>
          <w:b/>
          <w:i/>
        </w:rPr>
      </w:pPr>
      <w:r w:rsidRPr="00DF1F07">
        <w:rPr>
          <w:b/>
          <w:i/>
        </w:rPr>
        <w:t>Il testo di «Incontriamo Gesù»</w:t>
      </w:r>
    </w:p>
    <w:p w:rsidR="00281618" w:rsidRDefault="00281618" w:rsidP="004F7B42">
      <w:pPr>
        <w:spacing w:after="120"/>
        <w:ind w:left="567"/>
        <w:jc w:val="both"/>
      </w:pPr>
      <w:r w:rsidRPr="004F7B42">
        <w:rPr>
          <w:b/>
        </w:rPr>
        <w:t>Premessa:</w:t>
      </w:r>
      <w:r>
        <w:t xml:space="preserve">  Redatto, sancito e approvato dalla conferenza episcopale Italiana. Frutto di un lungo </w:t>
      </w:r>
      <w:r w:rsidR="004F7B42">
        <w:t xml:space="preserve">   </w:t>
      </w:r>
      <w:r>
        <w:t>cammino.</w:t>
      </w:r>
    </w:p>
    <w:p w:rsidR="007D192A" w:rsidRDefault="00281618" w:rsidP="007D192A">
      <w:pPr>
        <w:spacing w:after="120"/>
        <w:ind w:left="567"/>
        <w:jc w:val="both"/>
      </w:pPr>
      <w:r>
        <w:t>Il testo è accompagnato dalla lettera ai Tessalonicesi:</w:t>
      </w:r>
      <w:r w:rsidRPr="007D192A">
        <w:rPr>
          <w:rFonts w:ascii="Calibri" w:eastAsia="MS PGothic" w:hAnsi="Calibri" w:cs="+mn-cs"/>
          <w:b/>
          <w:bCs/>
          <w:i/>
          <w:iCs/>
          <w:color w:val="000099"/>
          <w:kern w:val="24"/>
          <w:sz w:val="48"/>
          <w:szCs w:val="48"/>
        </w:rPr>
        <w:t xml:space="preserve"> </w:t>
      </w:r>
      <w:r w:rsidRPr="007D192A">
        <w:rPr>
          <w:bCs/>
          <w:i/>
          <w:iCs/>
        </w:rPr>
        <w:t>La scelta di “accompagnare” i capitoli di Incontriamo Gesù con una piccola lectio dei primi due capitoli della prima lettera ai Tessalonicesi ha un duplice fine:</w:t>
      </w:r>
      <w:r w:rsidRPr="00281618">
        <w:t xml:space="preserve"> </w:t>
      </w:r>
    </w:p>
    <w:p w:rsidR="00281618" w:rsidRPr="007D192A" w:rsidRDefault="00281618" w:rsidP="007D192A">
      <w:pPr>
        <w:pStyle w:val="Paragrafoelenco"/>
        <w:numPr>
          <w:ilvl w:val="0"/>
          <w:numId w:val="5"/>
        </w:numPr>
        <w:spacing w:after="120"/>
        <w:ind w:left="1134" w:hanging="28"/>
        <w:jc w:val="both"/>
      </w:pPr>
      <w:r w:rsidRPr="007D192A">
        <w:rPr>
          <w:b/>
          <w:bCs/>
        </w:rPr>
        <w:t xml:space="preserve">teologico, </w:t>
      </w:r>
      <w:r w:rsidRPr="007D192A">
        <w:rPr>
          <w:bCs/>
        </w:rPr>
        <w:t xml:space="preserve">quello cioè di mostrare, anche se solo in modo emblematico, come una </w:t>
      </w:r>
      <w:r w:rsidR="007D192A">
        <w:rPr>
          <w:bCs/>
        </w:rPr>
        <w:t xml:space="preserve">    </w:t>
      </w:r>
      <w:r w:rsidRPr="007D192A">
        <w:rPr>
          <w:bCs/>
        </w:rPr>
        <w:t>riflessione sull’annuncio e la catechesi nel più ampio orizzonte dell’evangelizzazione non possa in alcun modo allontanarsi dalla Scrittura</w:t>
      </w:r>
    </w:p>
    <w:p w:rsidR="00281618" w:rsidRDefault="007D192A" w:rsidP="007D192A">
      <w:pPr>
        <w:pStyle w:val="Paragrafoelenco"/>
        <w:numPr>
          <w:ilvl w:val="0"/>
          <w:numId w:val="5"/>
        </w:numPr>
        <w:spacing w:after="120"/>
        <w:ind w:left="1134" w:firstLine="0"/>
        <w:jc w:val="both"/>
      </w:pPr>
      <w:r w:rsidRPr="007D192A">
        <w:rPr>
          <w:b/>
          <w:bCs/>
        </w:rPr>
        <w:t xml:space="preserve"> ecclesiale: </w:t>
      </w:r>
      <w:r w:rsidRPr="007D192A">
        <w:rPr>
          <w:bCs/>
        </w:rPr>
        <w:t>attraverso la citazione della Prima lettera ai Tessalonicesi si mostra come veramente l’evangelizzazione è strettamente connessa con l’identità della Chiesa, la sua natura più intima</w:t>
      </w:r>
      <w:r>
        <w:rPr>
          <w:b/>
          <w:bCs/>
        </w:rPr>
        <w:t xml:space="preserve">, </w:t>
      </w:r>
      <w:r w:rsidRPr="007D192A">
        <w:rPr>
          <w:bCs/>
        </w:rPr>
        <w:t>il suo essere madre, grembo che genera e acompagna i figli</w:t>
      </w:r>
    </w:p>
    <w:p w:rsidR="00281618" w:rsidRPr="00DF1F07" w:rsidRDefault="00281618" w:rsidP="00281618">
      <w:pPr>
        <w:spacing w:after="120"/>
        <w:ind w:firstLine="567"/>
        <w:jc w:val="both"/>
      </w:pPr>
      <w:r w:rsidRPr="00DF1F07">
        <w:t>Il testo presenta un indice assai semplice:</w:t>
      </w:r>
    </w:p>
    <w:p w:rsidR="00281618" w:rsidRPr="00DF1F07" w:rsidRDefault="00281618" w:rsidP="00281618">
      <w:pPr>
        <w:numPr>
          <w:ilvl w:val="1"/>
          <w:numId w:val="1"/>
        </w:numPr>
        <w:suppressAutoHyphens/>
        <w:spacing w:after="120" w:line="240" w:lineRule="auto"/>
        <w:contextualSpacing/>
        <w:jc w:val="both"/>
        <w:rPr>
          <w:rFonts w:cs="Times New Roman"/>
        </w:rPr>
      </w:pPr>
      <w:r w:rsidRPr="00DF1F07">
        <w:rPr>
          <w:rFonts w:cs="Times New Roman"/>
          <w:b/>
        </w:rPr>
        <w:t xml:space="preserve">Il </w:t>
      </w:r>
      <w:r w:rsidRPr="00DF1F07">
        <w:rPr>
          <w:rFonts w:cs="Times New Roman"/>
          <w:b/>
          <w:u w:val="single"/>
        </w:rPr>
        <w:t>Titolo</w:t>
      </w:r>
      <w:r w:rsidRPr="00DF1F07">
        <w:rPr>
          <w:rFonts w:cs="Times New Roman"/>
        </w:rPr>
        <w:t xml:space="preserve"> «Incontriamo Gesù» esprime sinteticamente (potremmo dire lapidariamente) l’obiettivo dell’annuncio e della catechesi: l’incontro di grazia con Gesù. La forma del verbo alla prima persona plurale sottolinea (come nei simboli di fede) la dimensione ecclesiale di questo incontro.</w:t>
      </w:r>
    </w:p>
    <w:p w:rsidR="00281618" w:rsidRPr="00DF1F07" w:rsidRDefault="00281618" w:rsidP="00281618">
      <w:pPr>
        <w:numPr>
          <w:ilvl w:val="1"/>
          <w:numId w:val="1"/>
        </w:numPr>
        <w:suppressAutoHyphens/>
        <w:spacing w:after="120" w:line="240" w:lineRule="auto"/>
        <w:contextualSpacing/>
        <w:jc w:val="both"/>
        <w:rPr>
          <w:rFonts w:cs="Times New Roman"/>
        </w:rPr>
      </w:pPr>
      <w:r w:rsidRPr="00DF1F07">
        <w:rPr>
          <w:rFonts w:cs="Times New Roman"/>
        </w:rPr>
        <w:t>L’</w:t>
      </w:r>
      <w:r w:rsidRPr="00DF1F07">
        <w:rPr>
          <w:rFonts w:cs="Times New Roman"/>
          <w:b/>
          <w:u w:val="single"/>
        </w:rPr>
        <w:t>Introduzione</w:t>
      </w:r>
      <w:r w:rsidRPr="00DF1F07">
        <w:rPr>
          <w:rFonts w:cs="Times New Roman"/>
        </w:rPr>
        <w:t xml:space="preserve">, assai breve, mostra scopo, contesto e destinatari di questi </w:t>
      </w:r>
      <w:r w:rsidRPr="007D2742">
        <w:rPr>
          <w:rFonts w:cs="Times New Roman"/>
          <w:i/>
        </w:rPr>
        <w:t>Orientamenti</w:t>
      </w:r>
      <w:r w:rsidRPr="00DF1F07">
        <w:rPr>
          <w:rFonts w:cs="Times New Roman"/>
        </w:rPr>
        <w:t xml:space="preserve">, nell’attuale contesto culturale e ecclesiale. Il tono non è celebrativo: da subito (come richiesto da alcune Conferenze) si mettono accanto ai motivi positivi anche i problemi, le difficoltà, le inadempienze – nonché i ritardi – di questi decenni L’introduzione si conclude, però, con un </w:t>
      </w:r>
      <w:r w:rsidRPr="00DF1F07">
        <w:rPr>
          <w:rFonts w:cs="Times New Roman"/>
          <w:i/>
        </w:rPr>
        <w:t>grazie</w:t>
      </w:r>
      <w:r w:rsidRPr="00DF1F07">
        <w:rPr>
          <w:rFonts w:cs="Times New Roman"/>
        </w:rPr>
        <w:t xml:space="preserve"> per il cammino dell’evangelizzazione dal DB a oggi.</w:t>
      </w:r>
    </w:p>
    <w:p w:rsidR="00281618" w:rsidRPr="00DF1F07" w:rsidRDefault="00281618" w:rsidP="00281618">
      <w:pPr>
        <w:numPr>
          <w:ilvl w:val="1"/>
          <w:numId w:val="1"/>
        </w:numPr>
        <w:suppressAutoHyphens/>
        <w:spacing w:after="120" w:line="240" w:lineRule="auto"/>
        <w:contextualSpacing/>
        <w:jc w:val="both"/>
        <w:rPr>
          <w:rFonts w:cs="Times New Roman"/>
        </w:rPr>
      </w:pPr>
      <w:r w:rsidRPr="00DF1F07">
        <w:rPr>
          <w:rFonts w:cs="Times New Roman"/>
        </w:rPr>
        <w:t>Il</w:t>
      </w:r>
      <w:r w:rsidRPr="00DF1F07">
        <w:rPr>
          <w:rFonts w:cs="Times New Roman"/>
          <w:b/>
        </w:rPr>
        <w:t xml:space="preserve"> </w:t>
      </w:r>
      <w:r w:rsidRPr="00DF1F07">
        <w:rPr>
          <w:rFonts w:cs="Times New Roman"/>
          <w:b/>
          <w:u w:val="single"/>
        </w:rPr>
        <w:t>Capitolo I</w:t>
      </w:r>
      <w:r w:rsidRPr="00DF1F07">
        <w:rPr>
          <w:rFonts w:cs="Times New Roman"/>
          <w:b/>
        </w:rPr>
        <w:t xml:space="preserve"> </w:t>
      </w:r>
      <w:r w:rsidRPr="00DF1F07">
        <w:rPr>
          <w:rFonts w:cs="Times New Roman"/>
          <w:b/>
          <w:u w:val="single"/>
        </w:rPr>
        <w:t>“Abitare con speranza il nostro tempo. Un nuovo impegno di evangelizzazione”</w:t>
      </w:r>
      <w:r w:rsidRPr="00DF1F07">
        <w:rPr>
          <w:rFonts w:cs="Times New Roman"/>
        </w:rPr>
        <w:t xml:space="preserve"> cerca di contestualizzare nell’oggi l’azione evangelizzatrice. Come suggerito da alcune Conferenze, si è cercato di sottolineare maggiormente i “segni di speranza” considerando la «cultura contemporanea come via di missione» e non solo come ostacolo» senza però tacere le “esigenze </w:t>
      </w:r>
      <w:r w:rsidRPr="007D192A">
        <w:rPr>
          <w:rFonts w:cs="Times New Roman"/>
          <w:b/>
        </w:rPr>
        <w:t>di conversione” (nn</w:t>
      </w:r>
      <w:r w:rsidRPr="00DF1F07">
        <w:rPr>
          <w:rFonts w:cs="Times New Roman"/>
        </w:rPr>
        <w:t>. 9-10). Questa parte è stata apprezzata dal molti osservatori. Si vuole poi contestualizzare il dinamismo della Fede (nn. 11-14) per poi descrivere l’</w:t>
      </w:r>
      <w:r w:rsidRPr="00DF1F07">
        <w:rPr>
          <w:rFonts w:cs="Times New Roman"/>
          <w:b/>
        </w:rPr>
        <w:t xml:space="preserve">evangelizzazione come </w:t>
      </w:r>
      <w:r w:rsidRPr="00DF1F07">
        <w:rPr>
          <w:rFonts w:cs="Times New Roman"/>
          <w:b/>
          <w:i/>
        </w:rPr>
        <w:t>orizzonte</w:t>
      </w:r>
      <w:r w:rsidRPr="00DF1F07">
        <w:rPr>
          <w:rFonts w:cs="Times New Roman"/>
          <w:b/>
        </w:rPr>
        <w:t xml:space="preserve"> e </w:t>
      </w:r>
      <w:r w:rsidRPr="00DF1F07">
        <w:rPr>
          <w:rFonts w:cs="Times New Roman"/>
          <w:b/>
          <w:i/>
        </w:rPr>
        <w:t>processo</w:t>
      </w:r>
      <w:r w:rsidRPr="00DF1F07">
        <w:rPr>
          <w:rFonts w:cs="Times New Roman"/>
        </w:rPr>
        <w:t xml:space="preserve"> (identità, soggetti, passaggi, rapporto tra evangelizzazione – annuncio – catechesi, catechesi per adulti e giovani). Il n. 27 dal titolo «</w:t>
      </w:r>
      <w:r w:rsidRPr="007D192A">
        <w:rPr>
          <w:rFonts w:cs="Times New Roman"/>
          <w:b/>
          <w:i/>
        </w:rPr>
        <w:t>Sapere</w:t>
      </w:r>
      <w:r w:rsidRPr="007D192A">
        <w:rPr>
          <w:rFonts w:cs="Times New Roman"/>
          <w:b/>
        </w:rPr>
        <w:t xml:space="preserve"> Gesù</w:t>
      </w:r>
      <w:r w:rsidRPr="00DF1F07">
        <w:rPr>
          <w:rFonts w:cs="Times New Roman"/>
        </w:rPr>
        <w:t>» è un paragrafo nodale perché riassume tutto il movimento dell’azione evangelizzatrice</w:t>
      </w:r>
    </w:p>
    <w:p w:rsidR="007D192A" w:rsidRDefault="00281618" w:rsidP="00281618">
      <w:pPr>
        <w:numPr>
          <w:ilvl w:val="1"/>
          <w:numId w:val="1"/>
        </w:numPr>
        <w:suppressAutoHyphens/>
        <w:spacing w:after="120" w:line="240" w:lineRule="auto"/>
        <w:contextualSpacing/>
        <w:jc w:val="both"/>
        <w:rPr>
          <w:rFonts w:cs="Times New Roman"/>
        </w:rPr>
      </w:pPr>
      <w:r w:rsidRPr="007D192A">
        <w:rPr>
          <w:rFonts w:cs="Times New Roman"/>
        </w:rPr>
        <w:t xml:space="preserve">Il </w:t>
      </w:r>
      <w:r w:rsidRPr="007D192A">
        <w:rPr>
          <w:rFonts w:cs="Times New Roman"/>
          <w:b/>
          <w:u w:val="single"/>
        </w:rPr>
        <w:t>Capitolo II</w:t>
      </w:r>
      <w:r w:rsidRPr="007D192A">
        <w:rPr>
          <w:rFonts w:cs="Times New Roman"/>
        </w:rPr>
        <w:t xml:space="preserve"> </w:t>
      </w:r>
      <w:r w:rsidRPr="007D192A">
        <w:rPr>
          <w:rFonts w:cs="Times New Roman"/>
          <w:b/>
          <w:u w:val="single"/>
        </w:rPr>
        <w:t>“Annunciare il Vangelo di Gesù. Il coraggio del primo annuncio”</w:t>
      </w:r>
      <w:r w:rsidRPr="007D192A">
        <w:rPr>
          <w:rFonts w:cs="Times New Roman"/>
          <w:b/>
        </w:rPr>
        <w:t xml:space="preserve"> </w:t>
      </w:r>
      <w:r w:rsidRPr="007D192A">
        <w:rPr>
          <w:rFonts w:cs="Times New Roman"/>
        </w:rPr>
        <w:t xml:space="preserve"> è interamente dedicato </w:t>
      </w:r>
      <w:r w:rsidRPr="007D192A">
        <w:rPr>
          <w:rFonts w:cs="Times New Roman"/>
          <w:b/>
        </w:rPr>
        <w:t xml:space="preserve">al </w:t>
      </w:r>
      <w:r w:rsidRPr="007D192A">
        <w:rPr>
          <w:rFonts w:cs="Times New Roman"/>
          <w:b/>
          <w:i/>
        </w:rPr>
        <w:t>Primo annuncio</w:t>
      </w:r>
      <w:r w:rsidRPr="007D192A">
        <w:rPr>
          <w:rFonts w:cs="Times New Roman"/>
        </w:rPr>
        <w:t>. Accanto ad una parte per così dire descrittiva nei nn. 36-41, si cercano di tratteggiare quelle «soglie» attraverso le quali si può concretamente operare una pastorale di annuncio.</w:t>
      </w:r>
      <w:r w:rsidR="007D192A">
        <w:rPr>
          <w:rFonts w:cs="Times New Roman"/>
        </w:rPr>
        <w:t xml:space="preserve"> </w:t>
      </w:r>
      <w:r w:rsidR="007D192A" w:rsidRPr="007D192A">
        <w:rPr>
          <w:rFonts w:cs="Times New Roman"/>
        </w:rPr>
        <w:t xml:space="preserve">Si parla di metodo pastorale del primo annuncio </w:t>
      </w:r>
      <w:r w:rsidRPr="007D192A">
        <w:rPr>
          <w:rFonts w:cs="Times New Roman"/>
        </w:rPr>
        <w:t xml:space="preserve"> Il capitolo si conclude con delle </w:t>
      </w:r>
      <w:r w:rsidRPr="007D192A">
        <w:rPr>
          <w:rFonts w:cs="Times New Roman"/>
          <w:i/>
        </w:rPr>
        <w:t>Proposte pastorali</w:t>
      </w:r>
      <w:r w:rsidRPr="007D192A">
        <w:rPr>
          <w:rFonts w:cs="Times New Roman"/>
        </w:rPr>
        <w:t xml:space="preserve"> (così anche il III e il IV capitolo) tra le quali i “Laboratori sull’annuncio”: </w:t>
      </w:r>
    </w:p>
    <w:p w:rsidR="00184EAC" w:rsidRDefault="00281618" w:rsidP="004F7B42">
      <w:pPr>
        <w:numPr>
          <w:ilvl w:val="1"/>
          <w:numId w:val="1"/>
        </w:numPr>
        <w:suppressAutoHyphens/>
        <w:spacing w:after="120" w:line="240" w:lineRule="auto"/>
        <w:contextualSpacing/>
        <w:jc w:val="both"/>
      </w:pPr>
      <w:r w:rsidRPr="007D192A">
        <w:rPr>
          <w:rFonts w:cs="Times New Roman"/>
        </w:rPr>
        <w:t xml:space="preserve">Il </w:t>
      </w:r>
      <w:r w:rsidRPr="007D192A">
        <w:rPr>
          <w:rFonts w:cs="Times New Roman"/>
          <w:b/>
          <w:u w:val="single"/>
        </w:rPr>
        <w:t>Capitolo III</w:t>
      </w:r>
      <w:r w:rsidRPr="007D192A">
        <w:rPr>
          <w:rFonts w:cs="Times New Roman"/>
          <w:b/>
          <w:i/>
        </w:rPr>
        <w:t xml:space="preserve"> </w:t>
      </w:r>
      <w:r w:rsidRPr="007D192A">
        <w:rPr>
          <w:rFonts w:cs="Times New Roman"/>
          <w:b/>
          <w:u w:val="single"/>
        </w:rPr>
        <w:t>“Iniziare, accompagnare e sostenere l’esperienza di fede. Il cammino della Iniziazione cristiana”</w:t>
      </w:r>
      <w:r w:rsidRPr="007D192A">
        <w:rPr>
          <w:rFonts w:cs="Times New Roman"/>
        </w:rPr>
        <w:t xml:space="preserve"> si concentra sull’Iniziazione cristiana. Prima l’Iniziazione cristiana degli adulti (catecumenato) quindi gli itinerari per bambini e ragazzi. </w:t>
      </w:r>
      <w:r w:rsidR="00184EAC">
        <w:rPr>
          <w:rFonts w:cs="Times New Roman"/>
        </w:rPr>
        <w:t xml:space="preserve"> </w:t>
      </w:r>
      <w:r w:rsidR="00184EAC" w:rsidRPr="00184EAC">
        <w:rPr>
          <w:b/>
          <w:bCs/>
          <w:i/>
          <w:iCs/>
        </w:rPr>
        <w:t>La rivisitazione dell’IC secondo la logica del catecumena</w:t>
      </w:r>
      <w:r w:rsidR="00184EAC">
        <w:rPr>
          <w:b/>
          <w:bCs/>
          <w:i/>
          <w:iCs/>
        </w:rPr>
        <w:t xml:space="preserve">to che comporta: </w:t>
      </w:r>
      <w:r w:rsidR="00184EAC" w:rsidRPr="00184EAC">
        <w:rPr>
          <w:b/>
          <w:bCs/>
        </w:rPr>
        <w:t xml:space="preserve"> </w:t>
      </w:r>
      <w:r w:rsidR="00184EAC">
        <w:t xml:space="preserve"> </w:t>
      </w:r>
      <w:r w:rsidRPr="00184EAC">
        <w:rPr>
          <w:rFonts w:cs="Times New Roman"/>
        </w:rPr>
        <w:t xml:space="preserve"> </w:t>
      </w:r>
      <w:r w:rsidR="00184EAC" w:rsidRPr="00184EAC">
        <w:rPr>
          <w:rFonts w:cs="Times New Roman"/>
          <w:b/>
          <w:bCs/>
        </w:rPr>
        <w:t>la presa in carico di una fase di “prima evangelizzazione;</w:t>
      </w:r>
      <w:r w:rsidR="00184EAC" w:rsidRPr="00184EAC">
        <w:rPr>
          <w:rFonts w:ascii="Verdana" w:eastAsia="MS PGothic" w:hAnsi="Verdana" w:cs="+mn-cs"/>
          <w:b/>
          <w:bCs/>
          <w:color w:val="000099"/>
          <w:kern w:val="24"/>
          <w:sz w:val="44"/>
          <w:szCs w:val="44"/>
        </w:rPr>
        <w:t xml:space="preserve"> </w:t>
      </w:r>
      <w:r w:rsidR="00184EAC" w:rsidRPr="00184EAC">
        <w:rPr>
          <w:rFonts w:cs="Times New Roman"/>
          <w:bCs/>
        </w:rPr>
        <w:t>il passaggio da uno stile verbale a una circolazione armoniosa tra le tre dimensioni del comprendere, celebrare e vivere;</w:t>
      </w:r>
      <w:r w:rsidR="00184EAC" w:rsidRPr="00184EAC">
        <w:rPr>
          <w:rFonts w:cs="Times New Roman"/>
          <w:b/>
          <w:bCs/>
        </w:rPr>
        <w:t xml:space="preserve"> il mettere in gioco le varie dimensioni della persona; </w:t>
      </w:r>
      <w:r w:rsidR="008C7E81" w:rsidRPr="00184EAC">
        <w:rPr>
          <w:rFonts w:cs="Times New Roman"/>
          <w:bCs/>
        </w:rPr>
        <w:t>la percezione dell’IC non come iniziazione ai sacramenti ma iniziazione alla vita cr</w:t>
      </w:r>
      <w:r w:rsidR="00184EAC" w:rsidRPr="00184EAC">
        <w:rPr>
          <w:rFonts w:cs="Times New Roman"/>
          <w:bCs/>
        </w:rPr>
        <w:t>istiana attraverso i sacramenti;</w:t>
      </w:r>
      <w:r w:rsidR="00184EAC" w:rsidRPr="00184EAC">
        <w:rPr>
          <w:rFonts w:cs="Times New Roman"/>
          <w:b/>
          <w:bCs/>
        </w:rPr>
        <w:t xml:space="preserve"> </w:t>
      </w:r>
    </w:p>
    <w:p w:rsidR="00184EAC" w:rsidRPr="00184EAC" w:rsidRDefault="00184EAC" w:rsidP="004F7B42">
      <w:pPr>
        <w:suppressAutoHyphens/>
        <w:spacing w:after="120" w:line="240" w:lineRule="auto"/>
        <w:ind w:left="720"/>
        <w:contextualSpacing/>
        <w:jc w:val="both"/>
      </w:pPr>
      <w:r w:rsidRPr="00184EAC">
        <w:rPr>
          <w:rFonts w:cs="Times New Roman"/>
          <w:b/>
          <w:bCs/>
        </w:rPr>
        <w:t>La logica catecumenale inoltre richiede la promozione del “secondo annuncio” per genitori, le famiglie in genere e gli operatori pastorali.</w:t>
      </w:r>
    </w:p>
    <w:p w:rsidR="00184EAC" w:rsidRPr="00184EAC" w:rsidRDefault="00184EAC" w:rsidP="004F7B42">
      <w:pPr>
        <w:numPr>
          <w:ilvl w:val="0"/>
          <w:numId w:val="1"/>
        </w:numPr>
        <w:suppressAutoHyphens/>
        <w:spacing w:after="0" w:line="240" w:lineRule="auto"/>
        <w:ind w:left="1418" w:hanging="425"/>
        <w:rPr>
          <w:rFonts w:cs="Times New Roman"/>
          <w:b/>
          <w:bCs/>
        </w:rPr>
      </w:pPr>
      <w:r>
        <w:rPr>
          <w:rFonts w:cs="Times New Roman"/>
          <w:b/>
          <w:bCs/>
        </w:rPr>
        <w:t>PROPOSTE PASTORALI</w:t>
      </w:r>
    </w:p>
    <w:p w:rsidR="00184EAC" w:rsidRPr="00184EAC" w:rsidRDefault="00184EAC" w:rsidP="004F7B42">
      <w:pPr>
        <w:suppressAutoHyphens/>
        <w:spacing w:after="0" w:line="240" w:lineRule="auto"/>
        <w:ind w:left="720"/>
        <w:rPr>
          <w:rFonts w:cs="Times New Roman"/>
          <w:b/>
          <w:bCs/>
        </w:rPr>
      </w:pPr>
      <w:r w:rsidRPr="00184EAC">
        <w:rPr>
          <w:rFonts w:cs="Times New Roman"/>
          <w:b/>
          <w:bCs/>
        </w:rPr>
        <w:lastRenderedPageBreak/>
        <w:t xml:space="preserve">La stessa sensibilità missionaria (IG n. 59) muove ad avviare o consolidare percorsi di pastorale </w:t>
      </w:r>
    </w:p>
    <w:p w:rsidR="00184EAC" w:rsidRDefault="008C7E81" w:rsidP="004F7B42">
      <w:pPr>
        <w:numPr>
          <w:ilvl w:val="0"/>
          <w:numId w:val="7"/>
        </w:numPr>
        <w:suppressAutoHyphens/>
        <w:spacing w:after="0" w:line="240" w:lineRule="auto"/>
        <w:rPr>
          <w:rFonts w:cs="Times New Roman"/>
          <w:b/>
          <w:bCs/>
        </w:rPr>
      </w:pPr>
      <w:r w:rsidRPr="00184EAC">
        <w:rPr>
          <w:rFonts w:cs="Times New Roman"/>
          <w:b/>
          <w:bCs/>
        </w:rPr>
        <w:t xml:space="preserve">  </w:t>
      </w:r>
      <w:r w:rsidRPr="00184EAC">
        <w:rPr>
          <w:rFonts w:cs="Times New Roman"/>
          <w:b/>
          <w:bCs/>
        </w:rPr>
        <w:t>per fidanzati,</w:t>
      </w:r>
    </w:p>
    <w:p w:rsidR="00000000" w:rsidRPr="00184EAC" w:rsidRDefault="008C7E81" w:rsidP="004F7B42">
      <w:pPr>
        <w:numPr>
          <w:ilvl w:val="0"/>
          <w:numId w:val="7"/>
        </w:numPr>
        <w:suppressAutoHyphens/>
        <w:spacing w:after="0" w:line="240" w:lineRule="auto"/>
        <w:rPr>
          <w:rFonts w:cs="Times New Roman"/>
          <w:b/>
          <w:bCs/>
        </w:rPr>
      </w:pPr>
      <w:r w:rsidRPr="00184EAC">
        <w:rPr>
          <w:rFonts w:cs="Times New Roman"/>
          <w:b/>
          <w:bCs/>
        </w:rPr>
        <w:t xml:space="preserve">  pre e post battesimale, </w:t>
      </w:r>
      <w:r w:rsidR="00184EAC">
        <w:rPr>
          <w:rFonts w:cs="Times New Roman"/>
          <w:b/>
          <w:bCs/>
        </w:rPr>
        <w:t xml:space="preserve"> </w:t>
      </w:r>
      <w:r w:rsidRPr="00184EAC">
        <w:rPr>
          <w:rFonts w:cs="Times New Roman"/>
          <w:b/>
          <w:bCs/>
        </w:rPr>
        <w:t xml:space="preserve">  e da zero a sei anni,</w:t>
      </w:r>
    </w:p>
    <w:p w:rsidR="00281618" w:rsidRPr="00184EAC" w:rsidRDefault="00184EAC" w:rsidP="004F7B42">
      <w:pPr>
        <w:suppressAutoHyphens/>
        <w:spacing w:after="0" w:line="240" w:lineRule="auto"/>
        <w:ind w:left="720"/>
        <w:rPr>
          <w:rFonts w:cs="Times New Roman"/>
          <w:b/>
          <w:bCs/>
        </w:rPr>
      </w:pPr>
      <w:r w:rsidRPr="00184EAC">
        <w:rPr>
          <w:rFonts w:cs="Times New Roman"/>
          <w:b/>
          <w:bCs/>
        </w:rPr>
        <w:t>paralleli o parte integrante di quelli di completamento dell’IC</w:t>
      </w:r>
    </w:p>
    <w:p w:rsidR="00184EAC" w:rsidRPr="00184EAC" w:rsidRDefault="00281618" w:rsidP="004F7B42">
      <w:pPr>
        <w:pStyle w:val="Paragrafoelenco"/>
        <w:numPr>
          <w:ilvl w:val="0"/>
          <w:numId w:val="8"/>
        </w:numPr>
        <w:suppressAutoHyphens/>
        <w:spacing w:after="0" w:line="240" w:lineRule="auto"/>
        <w:ind w:left="567"/>
        <w:jc w:val="both"/>
        <w:rPr>
          <w:rFonts w:cs="Times New Roman"/>
        </w:rPr>
      </w:pPr>
      <w:r w:rsidRPr="00184EAC">
        <w:rPr>
          <w:rFonts w:cs="Times New Roman"/>
        </w:rPr>
        <w:t>Il</w:t>
      </w:r>
      <w:r w:rsidRPr="00184EAC">
        <w:rPr>
          <w:rFonts w:cs="Times New Roman"/>
          <w:b/>
        </w:rPr>
        <w:t xml:space="preserve"> </w:t>
      </w:r>
      <w:r w:rsidRPr="00184EAC">
        <w:rPr>
          <w:rFonts w:cs="Times New Roman"/>
          <w:b/>
          <w:u w:val="single"/>
        </w:rPr>
        <w:t>Capitolo IV</w:t>
      </w:r>
      <w:r w:rsidRPr="00184EAC">
        <w:rPr>
          <w:rFonts w:cs="Times New Roman"/>
        </w:rPr>
        <w:t xml:space="preserve"> </w:t>
      </w:r>
      <w:r w:rsidRPr="00184EAC">
        <w:rPr>
          <w:rFonts w:cs="Times New Roman"/>
          <w:b/>
          <w:u w:val="single"/>
        </w:rPr>
        <w:t>“Testimoniare e narrare. Formare servitori del Vangelo”</w:t>
      </w:r>
      <w:r w:rsidRPr="00184EAC">
        <w:rPr>
          <w:rFonts w:cs="Times New Roman"/>
        </w:rPr>
        <w:t xml:space="preserve"> è sul ministero e la formazione di evangelizzatori e catechisti. È di fatto il capitolo più innovativo.</w:t>
      </w:r>
      <w:r w:rsidRPr="00184EAC">
        <w:rPr>
          <w:rFonts w:cs="Times New Roman"/>
          <w:b/>
        </w:rPr>
        <w:t xml:space="preserve"> </w:t>
      </w:r>
      <w:r w:rsidRPr="00184EAC">
        <w:rPr>
          <w:rFonts w:cs="Times New Roman"/>
        </w:rPr>
        <w:t xml:space="preserve">Quanto alla “ministerialità dei catechisti” (cf. n. 76-78) il Consiglio Episcopale permanente ha inteso, per così dire, rafforzare il </w:t>
      </w:r>
      <w:r w:rsidRPr="00184EAC">
        <w:rPr>
          <w:rFonts w:cs="Times New Roman"/>
          <w:b/>
        </w:rPr>
        <w:t>Mandato del Vescovo</w:t>
      </w:r>
      <w:r w:rsidRPr="00184EAC">
        <w:rPr>
          <w:rFonts w:cs="Times New Roman"/>
        </w:rPr>
        <w:t>, che non dovrebbe essere generico, o episodico. Anche per i padrini/madrine si propone una scelta, rafforzando questa figura e lasciando come «testimoni» del rito altre persone scelte dalla famiglia che non hanno i requisiti canonici per svolgere il ruolo di padrini/madrine (cf. n. 70).</w:t>
      </w:r>
    </w:p>
    <w:p w:rsidR="007D192A" w:rsidRPr="004F7B42" w:rsidRDefault="00281618" w:rsidP="004F7B42">
      <w:pPr>
        <w:pStyle w:val="Paragrafoelenco"/>
        <w:numPr>
          <w:ilvl w:val="0"/>
          <w:numId w:val="9"/>
        </w:numPr>
        <w:suppressAutoHyphens/>
        <w:spacing w:after="120" w:line="240" w:lineRule="auto"/>
        <w:ind w:left="567" w:hanging="283"/>
        <w:jc w:val="both"/>
        <w:rPr>
          <w:rFonts w:cs="Times New Roman"/>
        </w:rPr>
      </w:pPr>
      <w:r w:rsidRPr="00184EAC">
        <w:rPr>
          <w:rFonts w:cs="Times New Roman"/>
        </w:rPr>
        <w:t xml:space="preserve"> La </w:t>
      </w:r>
      <w:r w:rsidRPr="00184EAC">
        <w:rPr>
          <w:rFonts w:cs="Times New Roman"/>
          <w:b/>
        </w:rPr>
        <w:t>Conclusione</w:t>
      </w:r>
      <w:r w:rsidRPr="00184EAC">
        <w:rPr>
          <w:rFonts w:cs="Times New Roman"/>
        </w:rPr>
        <w:t xml:space="preserve"> è breve e vuole sintetizzare nell’ambito della comunità domenicale l’impegno di evangelizzazione e catechesi</w:t>
      </w:r>
    </w:p>
    <w:p w:rsidR="00281618" w:rsidRPr="007D192A" w:rsidRDefault="00281618" w:rsidP="007D192A">
      <w:pPr>
        <w:spacing w:after="120"/>
        <w:ind w:left="360"/>
        <w:jc w:val="both"/>
        <w:rPr>
          <w:b/>
          <w:i/>
        </w:rPr>
      </w:pPr>
      <w:r w:rsidRPr="00DF1F07">
        <w:rPr>
          <w:b/>
          <w:i/>
        </w:rPr>
        <w:t>Punti di forza del testo</w:t>
      </w:r>
    </w:p>
    <w:p w:rsidR="00281618" w:rsidRPr="00DF1F07" w:rsidRDefault="00281618" w:rsidP="00281618">
      <w:pPr>
        <w:spacing w:after="120"/>
        <w:ind w:left="360" w:firstLine="348"/>
        <w:jc w:val="both"/>
      </w:pPr>
      <w:r w:rsidRPr="00DF1F07">
        <w:t xml:space="preserve">Anzitutto, le sette </w:t>
      </w:r>
      <w:r w:rsidRPr="00DF1F07">
        <w:rPr>
          <w:b/>
        </w:rPr>
        <w:t>dimensioni fondamentali</w:t>
      </w:r>
      <w:r w:rsidRPr="00DF1F07">
        <w:t xml:space="preserve"> che caratterizzano gli </w:t>
      </w:r>
      <w:r w:rsidRPr="00DF1F07">
        <w:rPr>
          <w:i/>
        </w:rPr>
        <w:t>Orientamenti</w:t>
      </w:r>
      <w:r w:rsidRPr="00DF1F07">
        <w:t xml:space="preserve"> e, insieme, aprono ad ulteriori futuri sviluppi:</w:t>
      </w:r>
    </w:p>
    <w:p w:rsidR="00281618" w:rsidRPr="00DF1F07" w:rsidRDefault="00281618" w:rsidP="00281618">
      <w:pPr>
        <w:numPr>
          <w:ilvl w:val="0"/>
          <w:numId w:val="2"/>
        </w:numPr>
        <w:spacing w:after="120" w:line="240" w:lineRule="auto"/>
        <w:jc w:val="both"/>
      </w:pPr>
      <w:r w:rsidRPr="00DF1F07">
        <w:rPr>
          <w:b/>
        </w:rPr>
        <w:t xml:space="preserve">Un chiaro riferimento all’evangelizzazione in quanto </w:t>
      </w:r>
      <w:r w:rsidRPr="00DF1F07">
        <w:rPr>
          <w:b/>
          <w:i/>
        </w:rPr>
        <w:t xml:space="preserve">orizzonte </w:t>
      </w:r>
      <w:r w:rsidRPr="00DF1F07">
        <w:rPr>
          <w:b/>
        </w:rPr>
        <w:t>e</w:t>
      </w:r>
      <w:r w:rsidRPr="00DF1F07">
        <w:rPr>
          <w:b/>
          <w:i/>
        </w:rPr>
        <w:t xml:space="preserve"> processo</w:t>
      </w:r>
      <w:r w:rsidRPr="00DF1F07">
        <w:rPr>
          <w:b/>
        </w:rPr>
        <w:t xml:space="preserve">. </w:t>
      </w:r>
      <w:r w:rsidRPr="00DF1F07">
        <w:t>La distinzione non è peregrina. Tutto l’agire ecclesiale va compreso nell’orizzonte di ciò che costituisce l’identità stessa della Chiesa, appunto l’evangelizzazione. Allo stesso tempo, il processo di evangelizzazione ha delle tappe che necessitano di scelte missionarie ed educative appropriate.</w:t>
      </w:r>
    </w:p>
    <w:p w:rsidR="00281618" w:rsidRPr="00DF1F07" w:rsidRDefault="00281618" w:rsidP="00281618">
      <w:pPr>
        <w:numPr>
          <w:ilvl w:val="0"/>
          <w:numId w:val="2"/>
        </w:numPr>
        <w:spacing w:after="120" w:line="240" w:lineRule="auto"/>
        <w:jc w:val="both"/>
      </w:pPr>
      <w:r w:rsidRPr="00DF1F07">
        <w:rPr>
          <w:b/>
        </w:rPr>
        <w:t xml:space="preserve">Il primo annuncio che vuole illuminare il cuore dell’uomo nei passaggi fondamentali e critici della vita. </w:t>
      </w:r>
      <w:r w:rsidRPr="00DF1F07">
        <w:t xml:space="preserve">In tale senso è un atto ecclesiale che fa sintesi delle esigenza kerigmatica e apologetica, perché è annuncio della chiarezza del mistero salvifico, con parresìa, e, allo stesso tempo, è testimonianza della Bellezza operata dalla Parola nel cuore di chi l’accoglie.  </w:t>
      </w:r>
      <w:r w:rsidRPr="00DF1F07">
        <w:rPr>
          <w:b/>
        </w:rPr>
        <w:t xml:space="preserve"> </w:t>
      </w:r>
    </w:p>
    <w:p w:rsidR="00281618" w:rsidRPr="00DF1F07" w:rsidRDefault="00281618" w:rsidP="00281618">
      <w:pPr>
        <w:numPr>
          <w:ilvl w:val="0"/>
          <w:numId w:val="2"/>
        </w:numPr>
        <w:spacing w:after="120" w:line="240" w:lineRule="auto"/>
        <w:jc w:val="both"/>
      </w:pPr>
      <w:r w:rsidRPr="00DF1F07">
        <w:rPr>
          <w:b/>
        </w:rPr>
        <w:t>L’assoluta precedenza della catechesi e della formazione cristiana degli adulti</w:t>
      </w:r>
      <w:r w:rsidRPr="00DF1F07">
        <w:t>, e, all’interno di essa, del coinvolgimento delle famiglie nella catechesi dei piccoli (cf. particolarmente il n. 24). Si tratta, inoltre, di valorizzare tutta l’azione formativa (che comprende anche liturgia e testimonianza della carità) in chiave “adulta”.</w:t>
      </w:r>
    </w:p>
    <w:p w:rsidR="00281618" w:rsidRPr="00DF1F07" w:rsidRDefault="00281618" w:rsidP="00281618">
      <w:pPr>
        <w:numPr>
          <w:ilvl w:val="0"/>
          <w:numId w:val="2"/>
        </w:numPr>
        <w:spacing w:after="120" w:line="240" w:lineRule="auto"/>
        <w:jc w:val="both"/>
      </w:pPr>
      <w:r w:rsidRPr="00DF1F07">
        <w:rPr>
          <w:b/>
        </w:rPr>
        <w:t xml:space="preserve">La centralità della comunità nel processo di discernimento e progettazione dell’educazione nella fede. </w:t>
      </w:r>
      <w:r w:rsidRPr="00DF1F07">
        <w:t xml:space="preserve">Tutta la comunità, nella diversità dei ministeri che partecipano in modo differenziato alla responsabilità per il Regno, deve discernere l’agire educativo perché in esso si determina l’autenticità del suo tessuto ecclesiale. </w:t>
      </w:r>
    </w:p>
    <w:p w:rsidR="00281618" w:rsidRPr="00DF1F07" w:rsidRDefault="00281618" w:rsidP="00281618">
      <w:pPr>
        <w:numPr>
          <w:ilvl w:val="0"/>
          <w:numId w:val="2"/>
        </w:numPr>
        <w:spacing w:after="120" w:line="240" w:lineRule="auto"/>
        <w:jc w:val="both"/>
      </w:pPr>
      <w:r w:rsidRPr="00DF1F07">
        <w:rPr>
          <w:b/>
        </w:rPr>
        <w:t>L’ispirazione catecumenale</w:t>
      </w:r>
      <w:r w:rsidRPr="00DF1F07">
        <w:t xml:space="preserve"> della catechesi: questo comporta un’attenzione esplicita all’Iniziazione cristiana degli adulti e, insieme, una forte attenzione al dono di Grazia operato da Dio, alla scelta di fede, agli itinerari, ai riti, alle celebrazioni e ai passaggi che scandiscono il cammino.</w:t>
      </w:r>
    </w:p>
    <w:p w:rsidR="00281618" w:rsidRPr="00DF1F07" w:rsidRDefault="00281618" w:rsidP="00281618">
      <w:pPr>
        <w:numPr>
          <w:ilvl w:val="0"/>
          <w:numId w:val="2"/>
        </w:numPr>
        <w:spacing w:after="120" w:line="240" w:lineRule="auto"/>
        <w:jc w:val="both"/>
      </w:pPr>
      <w:r w:rsidRPr="00DF1F07">
        <w:t xml:space="preserve"> </w:t>
      </w:r>
      <w:r w:rsidRPr="00DF1F07">
        <w:rPr>
          <w:b/>
        </w:rPr>
        <w:t>La formazione</w:t>
      </w:r>
      <w:r w:rsidRPr="00DF1F07">
        <w:t xml:space="preserve"> dei catechisti e – in forma curriculare e permanente – la formazione dei presbiteri e dei diaconi. La formazione specifica di coloro che operano – a vario titolo – negli Uffici Catechistici Diocesani. Non è più tollerabile che nelle Diocesi manchino Direttori/Direttrici formati/e, o, addirittura, che manchi l’Ufficio Catechistico Diocesano</w:t>
      </w:r>
    </w:p>
    <w:p w:rsidR="00281618" w:rsidRPr="00DF1F07" w:rsidRDefault="00281618" w:rsidP="00281618">
      <w:pPr>
        <w:numPr>
          <w:ilvl w:val="0"/>
          <w:numId w:val="2"/>
        </w:numPr>
        <w:spacing w:after="120" w:line="240" w:lineRule="auto"/>
        <w:jc w:val="both"/>
      </w:pPr>
      <w:r w:rsidRPr="00DF1F07">
        <w:t xml:space="preserve"> </w:t>
      </w:r>
      <w:r w:rsidRPr="00DF1F07">
        <w:rPr>
          <w:b/>
        </w:rPr>
        <w:t>La proposta mistagogica</w:t>
      </w:r>
      <w:r w:rsidRPr="00DF1F07">
        <w:t xml:space="preserve"> ai preadolescenti, agli adolescenti e ai giovani, caratterizzata da una non scontata continuità con la catechesi di iniziazione cristiana ma anche dalla considerazione della realtà di «nuovi inizi» esistenziali. Su questo siamo già all’opera qui a Bari.</w:t>
      </w:r>
    </w:p>
    <w:p w:rsidR="00281618" w:rsidRPr="00DF1F07" w:rsidRDefault="00281618" w:rsidP="00281618">
      <w:pPr>
        <w:spacing w:after="120"/>
        <w:ind w:left="360"/>
        <w:jc w:val="both"/>
      </w:pPr>
    </w:p>
    <w:sectPr w:rsidR="00281618" w:rsidRPr="00DF1F07" w:rsidSect="00706B4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E81" w:rsidRDefault="008C7E81" w:rsidP="00281618">
      <w:pPr>
        <w:spacing w:after="0" w:line="240" w:lineRule="auto"/>
      </w:pPr>
      <w:r>
        <w:separator/>
      </w:r>
    </w:p>
  </w:endnote>
  <w:endnote w:type="continuationSeparator" w:id="1">
    <w:p w:rsidR="008C7E81" w:rsidRDefault="008C7E81" w:rsidP="00281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E81" w:rsidRDefault="008C7E81" w:rsidP="00281618">
      <w:pPr>
        <w:spacing w:after="0" w:line="240" w:lineRule="auto"/>
      </w:pPr>
      <w:r>
        <w:separator/>
      </w:r>
    </w:p>
  </w:footnote>
  <w:footnote w:type="continuationSeparator" w:id="1">
    <w:p w:rsidR="008C7E81" w:rsidRDefault="008C7E81" w:rsidP="002816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768"/>
    <w:multiLevelType w:val="multilevel"/>
    <w:tmpl w:val="F4480928"/>
    <w:lvl w:ilvl="0">
      <w:start w:val="1"/>
      <w:numFmt w:val="bullet"/>
      <w:lvlText w:val=""/>
      <w:lvlJc w:val="left"/>
      <w:pPr>
        <w:ind w:left="720" w:hanging="360"/>
      </w:pPr>
      <w:rPr>
        <w:rFonts w:ascii="Wingdings" w:hAnsi="Wingdings" w:hint="default"/>
      </w:rPr>
    </w:lvl>
    <w:lvl w:ilvl="1">
      <w:start w:val="1"/>
      <w:numFmt w:val="decimal"/>
      <w:lvlText w:val="%2."/>
      <w:lvlJc w:val="left"/>
      <w:pPr>
        <w:ind w:left="1080" w:hanging="360"/>
      </w:pPr>
      <w:rPr>
        <w:rFonts w:hint="default"/>
        <w:color w:val="auto"/>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nsid w:val="06BD437A"/>
    <w:multiLevelType w:val="hybridMultilevel"/>
    <w:tmpl w:val="E1F28590"/>
    <w:lvl w:ilvl="0" w:tplc="68C4A76A">
      <w:start w:val="1"/>
      <w:numFmt w:val="bullet"/>
      <w:lvlText w:val=""/>
      <w:lvlJc w:val="left"/>
      <w:pPr>
        <w:tabs>
          <w:tab w:val="num" w:pos="720"/>
        </w:tabs>
        <w:ind w:left="720" w:hanging="360"/>
      </w:pPr>
      <w:rPr>
        <w:rFonts w:ascii="Wingdings" w:hAnsi="Wingdings" w:hint="default"/>
      </w:rPr>
    </w:lvl>
    <w:lvl w:ilvl="1" w:tplc="3F96B2D6" w:tentative="1">
      <w:start w:val="1"/>
      <w:numFmt w:val="bullet"/>
      <w:lvlText w:val=""/>
      <w:lvlJc w:val="left"/>
      <w:pPr>
        <w:tabs>
          <w:tab w:val="num" w:pos="1440"/>
        </w:tabs>
        <w:ind w:left="1440" w:hanging="360"/>
      </w:pPr>
      <w:rPr>
        <w:rFonts w:ascii="Wingdings" w:hAnsi="Wingdings" w:hint="default"/>
      </w:rPr>
    </w:lvl>
    <w:lvl w:ilvl="2" w:tplc="6BD8AC30" w:tentative="1">
      <w:start w:val="1"/>
      <w:numFmt w:val="bullet"/>
      <w:lvlText w:val=""/>
      <w:lvlJc w:val="left"/>
      <w:pPr>
        <w:tabs>
          <w:tab w:val="num" w:pos="2160"/>
        </w:tabs>
        <w:ind w:left="2160" w:hanging="360"/>
      </w:pPr>
      <w:rPr>
        <w:rFonts w:ascii="Wingdings" w:hAnsi="Wingdings" w:hint="default"/>
      </w:rPr>
    </w:lvl>
    <w:lvl w:ilvl="3" w:tplc="527E17DE" w:tentative="1">
      <w:start w:val="1"/>
      <w:numFmt w:val="bullet"/>
      <w:lvlText w:val=""/>
      <w:lvlJc w:val="left"/>
      <w:pPr>
        <w:tabs>
          <w:tab w:val="num" w:pos="2880"/>
        </w:tabs>
        <w:ind w:left="2880" w:hanging="360"/>
      </w:pPr>
      <w:rPr>
        <w:rFonts w:ascii="Wingdings" w:hAnsi="Wingdings" w:hint="default"/>
      </w:rPr>
    </w:lvl>
    <w:lvl w:ilvl="4" w:tplc="141A847C" w:tentative="1">
      <w:start w:val="1"/>
      <w:numFmt w:val="bullet"/>
      <w:lvlText w:val=""/>
      <w:lvlJc w:val="left"/>
      <w:pPr>
        <w:tabs>
          <w:tab w:val="num" w:pos="3600"/>
        </w:tabs>
        <w:ind w:left="3600" w:hanging="360"/>
      </w:pPr>
      <w:rPr>
        <w:rFonts w:ascii="Wingdings" w:hAnsi="Wingdings" w:hint="default"/>
      </w:rPr>
    </w:lvl>
    <w:lvl w:ilvl="5" w:tplc="27BA9750" w:tentative="1">
      <w:start w:val="1"/>
      <w:numFmt w:val="bullet"/>
      <w:lvlText w:val=""/>
      <w:lvlJc w:val="left"/>
      <w:pPr>
        <w:tabs>
          <w:tab w:val="num" w:pos="4320"/>
        </w:tabs>
        <w:ind w:left="4320" w:hanging="360"/>
      </w:pPr>
      <w:rPr>
        <w:rFonts w:ascii="Wingdings" w:hAnsi="Wingdings" w:hint="default"/>
      </w:rPr>
    </w:lvl>
    <w:lvl w:ilvl="6" w:tplc="5A26D2B4" w:tentative="1">
      <w:start w:val="1"/>
      <w:numFmt w:val="bullet"/>
      <w:lvlText w:val=""/>
      <w:lvlJc w:val="left"/>
      <w:pPr>
        <w:tabs>
          <w:tab w:val="num" w:pos="5040"/>
        </w:tabs>
        <w:ind w:left="5040" w:hanging="360"/>
      </w:pPr>
      <w:rPr>
        <w:rFonts w:ascii="Wingdings" w:hAnsi="Wingdings" w:hint="default"/>
      </w:rPr>
    </w:lvl>
    <w:lvl w:ilvl="7" w:tplc="F0C0B766" w:tentative="1">
      <w:start w:val="1"/>
      <w:numFmt w:val="bullet"/>
      <w:lvlText w:val=""/>
      <w:lvlJc w:val="left"/>
      <w:pPr>
        <w:tabs>
          <w:tab w:val="num" w:pos="5760"/>
        </w:tabs>
        <w:ind w:left="5760" w:hanging="360"/>
      </w:pPr>
      <w:rPr>
        <w:rFonts w:ascii="Wingdings" w:hAnsi="Wingdings" w:hint="default"/>
      </w:rPr>
    </w:lvl>
    <w:lvl w:ilvl="8" w:tplc="52C6D3A8" w:tentative="1">
      <w:start w:val="1"/>
      <w:numFmt w:val="bullet"/>
      <w:lvlText w:val=""/>
      <w:lvlJc w:val="left"/>
      <w:pPr>
        <w:tabs>
          <w:tab w:val="num" w:pos="6480"/>
        </w:tabs>
        <w:ind w:left="6480" w:hanging="360"/>
      </w:pPr>
      <w:rPr>
        <w:rFonts w:ascii="Wingdings" w:hAnsi="Wingdings" w:hint="default"/>
      </w:rPr>
    </w:lvl>
  </w:abstractNum>
  <w:abstractNum w:abstractNumId="2">
    <w:nsid w:val="1F3D271B"/>
    <w:multiLevelType w:val="hybridMultilevel"/>
    <w:tmpl w:val="DCC4C87C"/>
    <w:lvl w:ilvl="0" w:tplc="9D3A2D44">
      <w:start w:val="7"/>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2DFF4F3C"/>
    <w:multiLevelType w:val="multilevel"/>
    <w:tmpl w:val="F448092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97A393E"/>
    <w:multiLevelType w:val="hybridMultilevel"/>
    <w:tmpl w:val="75EC6D72"/>
    <w:lvl w:ilvl="0" w:tplc="45BCCE74">
      <w:start w:val="1"/>
      <w:numFmt w:val="bullet"/>
      <w:lvlText w:val=""/>
      <w:lvlJc w:val="left"/>
      <w:pPr>
        <w:tabs>
          <w:tab w:val="num" w:pos="720"/>
        </w:tabs>
        <w:ind w:left="720" w:hanging="360"/>
      </w:pPr>
      <w:rPr>
        <w:rFonts w:ascii="Wingdings" w:hAnsi="Wingdings" w:hint="default"/>
      </w:rPr>
    </w:lvl>
    <w:lvl w:ilvl="1" w:tplc="B3928400" w:tentative="1">
      <w:start w:val="1"/>
      <w:numFmt w:val="bullet"/>
      <w:lvlText w:val=""/>
      <w:lvlJc w:val="left"/>
      <w:pPr>
        <w:tabs>
          <w:tab w:val="num" w:pos="1440"/>
        </w:tabs>
        <w:ind w:left="1440" w:hanging="360"/>
      </w:pPr>
      <w:rPr>
        <w:rFonts w:ascii="Wingdings" w:hAnsi="Wingdings" w:hint="default"/>
      </w:rPr>
    </w:lvl>
    <w:lvl w:ilvl="2" w:tplc="873A648C" w:tentative="1">
      <w:start w:val="1"/>
      <w:numFmt w:val="bullet"/>
      <w:lvlText w:val=""/>
      <w:lvlJc w:val="left"/>
      <w:pPr>
        <w:tabs>
          <w:tab w:val="num" w:pos="2160"/>
        </w:tabs>
        <w:ind w:left="2160" w:hanging="360"/>
      </w:pPr>
      <w:rPr>
        <w:rFonts w:ascii="Wingdings" w:hAnsi="Wingdings" w:hint="default"/>
      </w:rPr>
    </w:lvl>
    <w:lvl w:ilvl="3" w:tplc="E8BE476C" w:tentative="1">
      <w:start w:val="1"/>
      <w:numFmt w:val="bullet"/>
      <w:lvlText w:val=""/>
      <w:lvlJc w:val="left"/>
      <w:pPr>
        <w:tabs>
          <w:tab w:val="num" w:pos="2880"/>
        </w:tabs>
        <w:ind w:left="2880" w:hanging="360"/>
      </w:pPr>
      <w:rPr>
        <w:rFonts w:ascii="Wingdings" w:hAnsi="Wingdings" w:hint="default"/>
      </w:rPr>
    </w:lvl>
    <w:lvl w:ilvl="4" w:tplc="91B65A86" w:tentative="1">
      <w:start w:val="1"/>
      <w:numFmt w:val="bullet"/>
      <w:lvlText w:val=""/>
      <w:lvlJc w:val="left"/>
      <w:pPr>
        <w:tabs>
          <w:tab w:val="num" w:pos="3600"/>
        </w:tabs>
        <w:ind w:left="3600" w:hanging="360"/>
      </w:pPr>
      <w:rPr>
        <w:rFonts w:ascii="Wingdings" w:hAnsi="Wingdings" w:hint="default"/>
      </w:rPr>
    </w:lvl>
    <w:lvl w:ilvl="5" w:tplc="58B0D424" w:tentative="1">
      <w:start w:val="1"/>
      <w:numFmt w:val="bullet"/>
      <w:lvlText w:val=""/>
      <w:lvlJc w:val="left"/>
      <w:pPr>
        <w:tabs>
          <w:tab w:val="num" w:pos="4320"/>
        </w:tabs>
        <w:ind w:left="4320" w:hanging="360"/>
      </w:pPr>
      <w:rPr>
        <w:rFonts w:ascii="Wingdings" w:hAnsi="Wingdings" w:hint="default"/>
      </w:rPr>
    </w:lvl>
    <w:lvl w:ilvl="6" w:tplc="1FD4505C" w:tentative="1">
      <w:start w:val="1"/>
      <w:numFmt w:val="bullet"/>
      <w:lvlText w:val=""/>
      <w:lvlJc w:val="left"/>
      <w:pPr>
        <w:tabs>
          <w:tab w:val="num" w:pos="5040"/>
        </w:tabs>
        <w:ind w:left="5040" w:hanging="360"/>
      </w:pPr>
      <w:rPr>
        <w:rFonts w:ascii="Wingdings" w:hAnsi="Wingdings" w:hint="default"/>
      </w:rPr>
    </w:lvl>
    <w:lvl w:ilvl="7" w:tplc="6E762040" w:tentative="1">
      <w:start w:val="1"/>
      <w:numFmt w:val="bullet"/>
      <w:lvlText w:val=""/>
      <w:lvlJc w:val="left"/>
      <w:pPr>
        <w:tabs>
          <w:tab w:val="num" w:pos="5760"/>
        </w:tabs>
        <w:ind w:left="5760" w:hanging="360"/>
      </w:pPr>
      <w:rPr>
        <w:rFonts w:ascii="Wingdings" w:hAnsi="Wingdings" w:hint="default"/>
      </w:rPr>
    </w:lvl>
    <w:lvl w:ilvl="8" w:tplc="946A27FE" w:tentative="1">
      <w:start w:val="1"/>
      <w:numFmt w:val="bullet"/>
      <w:lvlText w:val=""/>
      <w:lvlJc w:val="left"/>
      <w:pPr>
        <w:tabs>
          <w:tab w:val="num" w:pos="6480"/>
        </w:tabs>
        <w:ind w:left="6480" w:hanging="360"/>
      </w:pPr>
      <w:rPr>
        <w:rFonts w:ascii="Wingdings" w:hAnsi="Wingdings" w:hint="default"/>
      </w:rPr>
    </w:lvl>
  </w:abstractNum>
  <w:abstractNum w:abstractNumId="5">
    <w:nsid w:val="50FF1FC6"/>
    <w:multiLevelType w:val="hybridMultilevel"/>
    <w:tmpl w:val="792888BA"/>
    <w:lvl w:ilvl="0" w:tplc="AA340010">
      <w:start w:val="1"/>
      <w:numFmt w:val="upperRoman"/>
      <w:lvlText w:val="%1)"/>
      <w:lvlJc w:val="left"/>
      <w:pPr>
        <w:ind w:left="1080" w:hanging="72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C201336"/>
    <w:multiLevelType w:val="hybridMultilevel"/>
    <w:tmpl w:val="62E0C15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68AD752E"/>
    <w:multiLevelType w:val="hybridMultilevel"/>
    <w:tmpl w:val="BF581AF6"/>
    <w:lvl w:ilvl="0" w:tplc="2DDEFD8E">
      <w:start w:val="6"/>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73932299"/>
    <w:multiLevelType w:val="hybridMultilevel"/>
    <w:tmpl w:val="0048050E"/>
    <w:lvl w:ilvl="0" w:tplc="04100001">
      <w:start w:val="1"/>
      <w:numFmt w:val="bullet"/>
      <w:lvlText w:val=""/>
      <w:lvlJc w:val="left"/>
      <w:pPr>
        <w:ind w:left="3024" w:hanging="360"/>
      </w:pPr>
      <w:rPr>
        <w:rFonts w:ascii="Symbol" w:hAnsi="Symbol" w:hint="default"/>
      </w:rPr>
    </w:lvl>
    <w:lvl w:ilvl="1" w:tplc="04100003" w:tentative="1">
      <w:start w:val="1"/>
      <w:numFmt w:val="bullet"/>
      <w:lvlText w:val="o"/>
      <w:lvlJc w:val="left"/>
      <w:pPr>
        <w:ind w:left="3744" w:hanging="360"/>
      </w:pPr>
      <w:rPr>
        <w:rFonts w:ascii="Courier New" w:hAnsi="Courier New" w:cs="Courier New" w:hint="default"/>
      </w:rPr>
    </w:lvl>
    <w:lvl w:ilvl="2" w:tplc="04100005" w:tentative="1">
      <w:start w:val="1"/>
      <w:numFmt w:val="bullet"/>
      <w:lvlText w:val=""/>
      <w:lvlJc w:val="left"/>
      <w:pPr>
        <w:ind w:left="4464" w:hanging="360"/>
      </w:pPr>
      <w:rPr>
        <w:rFonts w:ascii="Wingdings" w:hAnsi="Wingdings" w:hint="default"/>
      </w:rPr>
    </w:lvl>
    <w:lvl w:ilvl="3" w:tplc="04100001" w:tentative="1">
      <w:start w:val="1"/>
      <w:numFmt w:val="bullet"/>
      <w:lvlText w:val=""/>
      <w:lvlJc w:val="left"/>
      <w:pPr>
        <w:ind w:left="5184" w:hanging="360"/>
      </w:pPr>
      <w:rPr>
        <w:rFonts w:ascii="Symbol" w:hAnsi="Symbol" w:hint="default"/>
      </w:rPr>
    </w:lvl>
    <w:lvl w:ilvl="4" w:tplc="04100003" w:tentative="1">
      <w:start w:val="1"/>
      <w:numFmt w:val="bullet"/>
      <w:lvlText w:val="o"/>
      <w:lvlJc w:val="left"/>
      <w:pPr>
        <w:ind w:left="5904" w:hanging="360"/>
      </w:pPr>
      <w:rPr>
        <w:rFonts w:ascii="Courier New" w:hAnsi="Courier New" w:cs="Courier New" w:hint="default"/>
      </w:rPr>
    </w:lvl>
    <w:lvl w:ilvl="5" w:tplc="04100005" w:tentative="1">
      <w:start w:val="1"/>
      <w:numFmt w:val="bullet"/>
      <w:lvlText w:val=""/>
      <w:lvlJc w:val="left"/>
      <w:pPr>
        <w:ind w:left="6624" w:hanging="360"/>
      </w:pPr>
      <w:rPr>
        <w:rFonts w:ascii="Wingdings" w:hAnsi="Wingdings" w:hint="default"/>
      </w:rPr>
    </w:lvl>
    <w:lvl w:ilvl="6" w:tplc="04100001" w:tentative="1">
      <w:start w:val="1"/>
      <w:numFmt w:val="bullet"/>
      <w:lvlText w:val=""/>
      <w:lvlJc w:val="left"/>
      <w:pPr>
        <w:ind w:left="7344" w:hanging="360"/>
      </w:pPr>
      <w:rPr>
        <w:rFonts w:ascii="Symbol" w:hAnsi="Symbol" w:hint="default"/>
      </w:rPr>
    </w:lvl>
    <w:lvl w:ilvl="7" w:tplc="04100003" w:tentative="1">
      <w:start w:val="1"/>
      <w:numFmt w:val="bullet"/>
      <w:lvlText w:val="o"/>
      <w:lvlJc w:val="left"/>
      <w:pPr>
        <w:ind w:left="8064" w:hanging="360"/>
      </w:pPr>
      <w:rPr>
        <w:rFonts w:ascii="Courier New" w:hAnsi="Courier New" w:cs="Courier New" w:hint="default"/>
      </w:rPr>
    </w:lvl>
    <w:lvl w:ilvl="8" w:tplc="04100005" w:tentative="1">
      <w:start w:val="1"/>
      <w:numFmt w:val="bullet"/>
      <w:lvlText w:val=""/>
      <w:lvlJc w:val="left"/>
      <w:pPr>
        <w:ind w:left="8784"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8"/>
  </w:num>
  <w:num w:numId="6">
    <w:abstractNumId w:val="4"/>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281618"/>
    <w:rsid w:val="00184EAC"/>
    <w:rsid w:val="00225551"/>
    <w:rsid w:val="00281618"/>
    <w:rsid w:val="004F7B42"/>
    <w:rsid w:val="00706B4E"/>
    <w:rsid w:val="007D192A"/>
    <w:rsid w:val="008C7E81"/>
    <w:rsid w:val="008D75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6B4E"/>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rsid w:val="00281618"/>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281618"/>
    <w:rPr>
      <w:rFonts w:ascii="Times New Roman" w:eastAsia="Times New Roman" w:hAnsi="Times New Roman" w:cs="Times New Roman"/>
      <w:sz w:val="20"/>
      <w:szCs w:val="20"/>
      <w:lang w:eastAsia="it-IT"/>
    </w:rPr>
  </w:style>
  <w:style w:type="character" w:styleId="Rimandonotaapidipagina">
    <w:name w:val="footnote reference"/>
    <w:aliases w:val="text poznámky"/>
    <w:uiPriority w:val="99"/>
    <w:rsid w:val="00281618"/>
    <w:rPr>
      <w:vertAlign w:val="superscript"/>
    </w:rPr>
  </w:style>
  <w:style w:type="paragraph" w:styleId="NormaleWeb">
    <w:name w:val="Normal (Web)"/>
    <w:basedOn w:val="Normale"/>
    <w:uiPriority w:val="99"/>
    <w:semiHidden/>
    <w:unhideWhenUsed/>
    <w:rsid w:val="002816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D192A"/>
    <w:pPr>
      <w:ind w:left="720"/>
      <w:contextualSpacing/>
    </w:pPr>
  </w:style>
</w:styles>
</file>

<file path=word/webSettings.xml><?xml version="1.0" encoding="utf-8"?>
<w:webSettings xmlns:r="http://schemas.openxmlformats.org/officeDocument/2006/relationships" xmlns:w="http://schemas.openxmlformats.org/wordprocessingml/2006/main">
  <w:divs>
    <w:div w:id="142695371">
      <w:bodyDiv w:val="1"/>
      <w:marLeft w:val="0"/>
      <w:marRight w:val="0"/>
      <w:marTop w:val="0"/>
      <w:marBottom w:val="0"/>
      <w:divBdr>
        <w:top w:val="none" w:sz="0" w:space="0" w:color="auto"/>
        <w:left w:val="none" w:sz="0" w:space="0" w:color="auto"/>
        <w:bottom w:val="none" w:sz="0" w:space="0" w:color="auto"/>
        <w:right w:val="none" w:sz="0" w:space="0" w:color="auto"/>
      </w:divBdr>
    </w:div>
    <w:div w:id="774401003">
      <w:bodyDiv w:val="1"/>
      <w:marLeft w:val="0"/>
      <w:marRight w:val="0"/>
      <w:marTop w:val="0"/>
      <w:marBottom w:val="0"/>
      <w:divBdr>
        <w:top w:val="none" w:sz="0" w:space="0" w:color="auto"/>
        <w:left w:val="none" w:sz="0" w:space="0" w:color="auto"/>
        <w:bottom w:val="none" w:sz="0" w:space="0" w:color="auto"/>
        <w:right w:val="none" w:sz="0" w:space="0" w:color="auto"/>
      </w:divBdr>
    </w:div>
    <w:div w:id="893589779">
      <w:bodyDiv w:val="1"/>
      <w:marLeft w:val="0"/>
      <w:marRight w:val="0"/>
      <w:marTop w:val="0"/>
      <w:marBottom w:val="0"/>
      <w:divBdr>
        <w:top w:val="none" w:sz="0" w:space="0" w:color="auto"/>
        <w:left w:val="none" w:sz="0" w:space="0" w:color="auto"/>
        <w:bottom w:val="none" w:sz="0" w:space="0" w:color="auto"/>
        <w:right w:val="none" w:sz="0" w:space="0" w:color="auto"/>
      </w:divBdr>
    </w:div>
    <w:div w:id="1463037011">
      <w:bodyDiv w:val="1"/>
      <w:marLeft w:val="0"/>
      <w:marRight w:val="0"/>
      <w:marTop w:val="0"/>
      <w:marBottom w:val="0"/>
      <w:divBdr>
        <w:top w:val="none" w:sz="0" w:space="0" w:color="auto"/>
        <w:left w:val="none" w:sz="0" w:space="0" w:color="auto"/>
        <w:bottom w:val="none" w:sz="0" w:space="0" w:color="auto"/>
        <w:right w:val="none" w:sz="0" w:space="0" w:color="auto"/>
      </w:divBdr>
    </w:div>
    <w:div w:id="1778796451">
      <w:bodyDiv w:val="1"/>
      <w:marLeft w:val="0"/>
      <w:marRight w:val="0"/>
      <w:marTop w:val="0"/>
      <w:marBottom w:val="0"/>
      <w:divBdr>
        <w:top w:val="none" w:sz="0" w:space="0" w:color="auto"/>
        <w:left w:val="none" w:sz="0" w:space="0" w:color="auto"/>
        <w:bottom w:val="none" w:sz="0" w:space="0" w:color="auto"/>
        <w:right w:val="none" w:sz="0" w:space="0" w:color="auto"/>
      </w:divBdr>
      <w:divsChild>
        <w:div w:id="1234506943">
          <w:marLeft w:val="288"/>
          <w:marRight w:val="0"/>
          <w:marTop w:val="0"/>
          <w:marBottom w:val="0"/>
          <w:divBdr>
            <w:top w:val="none" w:sz="0" w:space="0" w:color="auto"/>
            <w:left w:val="none" w:sz="0" w:space="0" w:color="auto"/>
            <w:bottom w:val="none" w:sz="0" w:space="0" w:color="auto"/>
            <w:right w:val="none" w:sz="0" w:space="0" w:color="auto"/>
          </w:divBdr>
        </w:div>
      </w:divsChild>
    </w:div>
    <w:div w:id="1873371896">
      <w:bodyDiv w:val="1"/>
      <w:marLeft w:val="0"/>
      <w:marRight w:val="0"/>
      <w:marTop w:val="0"/>
      <w:marBottom w:val="0"/>
      <w:divBdr>
        <w:top w:val="none" w:sz="0" w:space="0" w:color="auto"/>
        <w:left w:val="none" w:sz="0" w:space="0" w:color="auto"/>
        <w:bottom w:val="none" w:sz="0" w:space="0" w:color="auto"/>
        <w:right w:val="none" w:sz="0" w:space="0" w:color="auto"/>
      </w:divBdr>
    </w:div>
    <w:div w:id="19714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1090</Words>
  <Characters>6213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cp:lastPrinted>2014-10-14T10:41:00Z</cp:lastPrinted>
  <dcterms:created xsi:type="dcterms:W3CDTF">2014-10-14T10:07:00Z</dcterms:created>
  <dcterms:modified xsi:type="dcterms:W3CDTF">2014-10-14T10:58:00Z</dcterms:modified>
</cp:coreProperties>
</file>